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A60F" w14:textId="275FC507" w:rsidR="00720819" w:rsidRPr="000279E3" w:rsidRDefault="000279E3" w:rsidP="00027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E3">
        <w:rPr>
          <w:rFonts w:ascii="Times New Roman" w:hAnsi="Times New Roman" w:cs="Times New Roman"/>
          <w:b/>
          <w:bCs/>
          <w:sz w:val="28"/>
          <w:szCs w:val="28"/>
        </w:rPr>
        <w:t>Corporation of the Township of Sables-Spanish Rivers</w:t>
      </w:r>
    </w:p>
    <w:p w14:paraId="20166494" w14:textId="792052E7" w:rsidR="000279E3" w:rsidRDefault="000279E3" w:rsidP="000279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E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27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2BA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279E3">
        <w:rPr>
          <w:rFonts w:ascii="Times New Roman" w:hAnsi="Times New Roman" w:cs="Times New Roman"/>
          <w:b/>
          <w:bCs/>
          <w:sz w:val="28"/>
          <w:szCs w:val="28"/>
        </w:rPr>
        <w:t xml:space="preserve"> Budget Highlights</w:t>
      </w:r>
    </w:p>
    <w:p w14:paraId="352DD6EB" w14:textId="76884746" w:rsidR="000279E3" w:rsidRDefault="000279E3" w:rsidP="000279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Comparison of Tax Rates – </w:t>
      </w:r>
      <w:r w:rsidR="007927A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2BA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20</w:t>
      </w:r>
      <w:r w:rsidR="005940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2B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40B5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91"/>
        <w:gridCol w:w="1333"/>
        <w:gridCol w:w="1233"/>
        <w:gridCol w:w="1333"/>
        <w:gridCol w:w="1401"/>
        <w:gridCol w:w="1269"/>
        <w:gridCol w:w="1333"/>
      </w:tblGrid>
      <w:tr w:rsidR="00F02BAF" w:rsidRPr="00660138" w14:paraId="7334AEF5" w14:textId="77777777" w:rsidTr="005940B5">
        <w:trPr>
          <w:trHeight w:val="886"/>
        </w:trPr>
        <w:tc>
          <w:tcPr>
            <w:tcW w:w="1591" w:type="dxa"/>
          </w:tcPr>
          <w:p w14:paraId="7B0C0355" w14:textId="77777777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3627860"/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  <w:p w14:paraId="7ECC27F9" w14:textId="77777777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63051" w14:textId="77777777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58F78" w14:textId="79267DD4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B6DE234" w14:textId="13533B4C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 xml:space="preserve">Municipal Rate </w:t>
            </w:r>
          </w:p>
        </w:tc>
        <w:tc>
          <w:tcPr>
            <w:tcW w:w="1233" w:type="dxa"/>
          </w:tcPr>
          <w:p w14:paraId="418BEF82" w14:textId="2B6D5CCB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Education Rate</w:t>
            </w:r>
          </w:p>
        </w:tc>
        <w:tc>
          <w:tcPr>
            <w:tcW w:w="1333" w:type="dxa"/>
          </w:tcPr>
          <w:p w14:paraId="30702991" w14:textId="5DCBF138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 xml:space="preserve"> Combined Rate </w:t>
            </w:r>
          </w:p>
        </w:tc>
        <w:tc>
          <w:tcPr>
            <w:tcW w:w="1401" w:type="dxa"/>
          </w:tcPr>
          <w:p w14:paraId="59F76343" w14:textId="65DD1FB8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 xml:space="preserve">Municipal Rate </w:t>
            </w:r>
          </w:p>
        </w:tc>
        <w:tc>
          <w:tcPr>
            <w:tcW w:w="1269" w:type="dxa"/>
          </w:tcPr>
          <w:p w14:paraId="02A7D50A" w14:textId="572D3DEA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Education Rate</w:t>
            </w:r>
          </w:p>
        </w:tc>
        <w:tc>
          <w:tcPr>
            <w:tcW w:w="1333" w:type="dxa"/>
          </w:tcPr>
          <w:p w14:paraId="7BA48FFC" w14:textId="74A2B4B5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 xml:space="preserve"> Combined Rate </w:t>
            </w:r>
          </w:p>
        </w:tc>
      </w:tr>
      <w:tr w:rsidR="00F02BAF" w:rsidRPr="00660138" w14:paraId="47D77510" w14:textId="77777777" w:rsidTr="005940B5">
        <w:trPr>
          <w:trHeight w:val="267"/>
        </w:trPr>
        <w:tc>
          <w:tcPr>
            <w:tcW w:w="1591" w:type="dxa"/>
          </w:tcPr>
          <w:p w14:paraId="31620C21" w14:textId="77777777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9782C40" w14:textId="7777777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2465A0F" w14:textId="7777777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FF9BDE0" w14:textId="7777777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AF61EB4" w14:textId="7777777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F04C18D" w14:textId="7777777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481EFC0" w14:textId="7777777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BAF" w:rsidRPr="00660138" w14:paraId="2FB5D190" w14:textId="77777777" w:rsidTr="005940B5">
        <w:trPr>
          <w:trHeight w:val="558"/>
        </w:trPr>
        <w:tc>
          <w:tcPr>
            <w:tcW w:w="1591" w:type="dxa"/>
          </w:tcPr>
          <w:p w14:paraId="6DC3B085" w14:textId="3BA237D5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Residential</w:t>
            </w:r>
          </w:p>
        </w:tc>
        <w:tc>
          <w:tcPr>
            <w:tcW w:w="1333" w:type="dxa"/>
          </w:tcPr>
          <w:p w14:paraId="0757BD41" w14:textId="5C001FD4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397616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4C041F7C" w14:textId="0C8FF2B6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5538ACB7" w14:textId="67F0C278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550616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7A46CC0F" w14:textId="6A363471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35690891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090F44A7" w14:textId="17B180D6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333" w:type="dxa"/>
          </w:tcPr>
          <w:p w14:paraId="29C96F0B" w14:textId="475A1129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50990891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6D347F5B" w14:textId="77777777" w:rsidTr="005940B5">
        <w:trPr>
          <w:trHeight w:val="558"/>
        </w:trPr>
        <w:tc>
          <w:tcPr>
            <w:tcW w:w="1591" w:type="dxa"/>
          </w:tcPr>
          <w:p w14:paraId="731941B9" w14:textId="1409FAD1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Multi-Residential</w:t>
            </w:r>
          </w:p>
        </w:tc>
        <w:tc>
          <w:tcPr>
            <w:tcW w:w="1333" w:type="dxa"/>
          </w:tcPr>
          <w:p w14:paraId="2AFB5091" w14:textId="26FD97E0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471684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064E95FC" w14:textId="6FB4F7B6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0FDC86B8" w14:textId="5F4D2CC7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624684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1A28EDBA" w14:textId="751347F5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39969341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2F34CAD8" w14:textId="7E8B5509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333" w:type="dxa"/>
          </w:tcPr>
          <w:p w14:paraId="175684E2" w14:textId="31762AF3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55269341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52D40A98" w14:textId="77777777" w:rsidTr="005940B5">
        <w:trPr>
          <w:trHeight w:val="558"/>
        </w:trPr>
        <w:tc>
          <w:tcPr>
            <w:tcW w:w="1591" w:type="dxa"/>
          </w:tcPr>
          <w:p w14:paraId="170A5257" w14:textId="3A232597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Commercial</w:t>
            </w:r>
          </w:p>
        </w:tc>
        <w:tc>
          <w:tcPr>
            <w:tcW w:w="1333" w:type="dxa"/>
          </w:tcPr>
          <w:p w14:paraId="020580DE" w14:textId="5BD4B37C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537378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282D6D09" w14:textId="38780718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0.880000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71BCC870" w14:textId="4981D82A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417378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72625D2E" w14:textId="35761775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9259980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429DAE83" w14:textId="49D88557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0.88000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363CBAB9" w14:textId="590486A2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37259980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078D114E" w14:textId="77777777" w:rsidTr="005940B5">
        <w:trPr>
          <w:trHeight w:val="658"/>
        </w:trPr>
        <w:tc>
          <w:tcPr>
            <w:tcW w:w="1591" w:type="dxa"/>
          </w:tcPr>
          <w:p w14:paraId="74830106" w14:textId="400F517D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Commercial Excess/Vacant</w:t>
            </w:r>
          </w:p>
        </w:tc>
        <w:tc>
          <w:tcPr>
            <w:tcW w:w="1333" w:type="dxa"/>
          </w:tcPr>
          <w:p w14:paraId="60CB3C30" w14:textId="72EED8DB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1.076164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6FD0E4C3" w14:textId="48D89925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3BE4F930" w14:textId="5B13F7FB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956164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5A387316" w14:textId="2F1E96A4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1.04481986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42A40C3A" w14:textId="7EF68F78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333" w:type="dxa"/>
          </w:tcPr>
          <w:p w14:paraId="2A75E2DD" w14:textId="7598C822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92481986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75C39019" w14:textId="77777777" w:rsidTr="005940B5">
        <w:trPr>
          <w:trHeight w:val="546"/>
        </w:trPr>
        <w:tc>
          <w:tcPr>
            <w:tcW w:w="1591" w:type="dxa"/>
          </w:tcPr>
          <w:p w14:paraId="78264DB6" w14:textId="173A4E9F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Landfill</w:t>
            </w:r>
          </w:p>
        </w:tc>
        <w:tc>
          <w:tcPr>
            <w:tcW w:w="1333" w:type="dxa"/>
          </w:tcPr>
          <w:p w14:paraId="7080289D" w14:textId="2AD8BAFD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397616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7FA305A5" w14:textId="1B91F109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0.880000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2C1C7976" w14:textId="4B1ADCF4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277616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5B6C7AB5" w14:textId="78607F39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35690891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6BAC5F99" w14:textId="2816B492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0.88000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4EDC555C" w14:textId="25B81F94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23690891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3864B0E4" w14:textId="77777777" w:rsidTr="005940B5">
        <w:trPr>
          <w:trHeight w:val="558"/>
        </w:trPr>
        <w:tc>
          <w:tcPr>
            <w:tcW w:w="1591" w:type="dxa"/>
          </w:tcPr>
          <w:p w14:paraId="732B6764" w14:textId="21B9939E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Industrial</w:t>
            </w:r>
          </w:p>
        </w:tc>
        <w:tc>
          <w:tcPr>
            <w:tcW w:w="1333" w:type="dxa"/>
          </w:tcPr>
          <w:p w14:paraId="632A57CB" w14:textId="3ED197BF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357359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6A76F94F" w14:textId="09018D2F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7147417C" w14:textId="7E4BEC6B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237359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55A82091" w14:textId="53FF74A6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28869826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2DF63185" w14:textId="2A371C01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000%</w:t>
            </w:r>
          </w:p>
        </w:tc>
        <w:tc>
          <w:tcPr>
            <w:tcW w:w="1333" w:type="dxa"/>
          </w:tcPr>
          <w:p w14:paraId="58D682CC" w14:textId="1074B57A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16869826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2A1E695C" w14:textId="77777777" w:rsidTr="005940B5">
        <w:trPr>
          <w:trHeight w:val="558"/>
        </w:trPr>
        <w:tc>
          <w:tcPr>
            <w:tcW w:w="1591" w:type="dxa"/>
          </w:tcPr>
          <w:p w14:paraId="195D981D" w14:textId="570EE24A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Industrial Excess/Vacant</w:t>
            </w:r>
          </w:p>
        </w:tc>
        <w:tc>
          <w:tcPr>
            <w:tcW w:w="1333" w:type="dxa"/>
          </w:tcPr>
          <w:p w14:paraId="36A14A3B" w14:textId="03FE764D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532283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64A98E07" w14:textId="541371CC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880000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57BA7F27" w14:textId="2FC7C893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412283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28ACE87D" w14:textId="324D291D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48765387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0C5FDDC7" w14:textId="09DFF837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54CBD104" w14:textId="3182B2E4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36765387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5AA1C886" w14:textId="77777777" w:rsidTr="005940B5">
        <w:trPr>
          <w:trHeight w:val="558"/>
        </w:trPr>
        <w:tc>
          <w:tcPr>
            <w:tcW w:w="1591" w:type="dxa"/>
          </w:tcPr>
          <w:p w14:paraId="42595279" w14:textId="49FB2513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Managed Forest</w:t>
            </w:r>
          </w:p>
        </w:tc>
        <w:tc>
          <w:tcPr>
            <w:tcW w:w="1333" w:type="dxa"/>
          </w:tcPr>
          <w:p w14:paraId="77BDC618" w14:textId="26DB6626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349404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46657444" w14:textId="50EAA046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0.038250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3D2A1DC2" w14:textId="0BF65FCE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87654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13C47924" w14:textId="1F9E7605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3922722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73680F80" w14:textId="4D35C6A3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0.0382500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7A278EE4" w14:textId="0AFD7D9C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7747722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02BAF" w:rsidRPr="00660138" w14:paraId="72B580AB" w14:textId="77777777" w:rsidTr="005940B5">
        <w:trPr>
          <w:trHeight w:val="558"/>
        </w:trPr>
        <w:tc>
          <w:tcPr>
            <w:tcW w:w="1591" w:type="dxa"/>
          </w:tcPr>
          <w:p w14:paraId="1AF4B119" w14:textId="2CA6F170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Farmlands</w:t>
            </w:r>
          </w:p>
        </w:tc>
        <w:tc>
          <w:tcPr>
            <w:tcW w:w="1333" w:type="dxa"/>
          </w:tcPr>
          <w:p w14:paraId="383AC900" w14:textId="6FEF5625" w:rsidR="00F02BAF" w:rsidRPr="00660138" w:rsidRDefault="00F02BAF" w:rsidP="00F0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349404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33" w:type="dxa"/>
          </w:tcPr>
          <w:p w14:paraId="423DD254" w14:textId="58019CD6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38250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14:paraId="58BAA560" w14:textId="7FF0990A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387654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01" w:type="dxa"/>
          </w:tcPr>
          <w:p w14:paraId="0B672AF2" w14:textId="5A61F8E4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3922722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9" w:type="dxa"/>
          </w:tcPr>
          <w:p w14:paraId="0FE73BF1" w14:textId="4A9149E0" w:rsidR="00F02BAF" w:rsidRPr="007927A1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3825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00%</w:t>
            </w:r>
          </w:p>
        </w:tc>
        <w:tc>
          <w:tcPr>
            <w:tcW w:w="1333" w:type="dxa"/>
          </w:tcPr>
          <w:p w14:paraId="34F33E9B" w14:textId="275AA22B" w:rsidR="00F02BAF" w:rsidRPr="00660138" w:rsidRDefault="00F02BAF" w:rsidP="00F0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7747722</w:t>
            </w: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bookmarkEnd w:id="0"/>
    </w:tbl>
    <w:p w14:paraId="73357DDC" w14:textId="2D8A8BBF" w:rsidR="000279E3" w:rsidRDefault="000279E3" w:rsidP="000279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1FEB7D" w14:textId="61F05959" w:rsidR="009E7591" w:rsidRDefault="009E7591" w:rsidP="000279E3">
      <w:pPr>
        <w:rPr>
          <w:rFonts w:ascii="Times New Roman" w:hAnsi="Times New Roman" w:cs="Times New Roman"/>
          <w:sz w:val="24"/>
          <w:szCs w:val="24"/>
        </w:rPr>
      </w:pPr>
      <w:r w:rsidRPr="009E7591">
        <w:rPr>
          <w:rFonts w:ascii="Times New Roman" w:hAnsi="Times New Roman" w:cs="Times New Roman"/>
          <w:b/>
          <w:bCs/>
          <w:sz w:val="24"/>
          <w:szCs w:val="24"/>
        </w:rPr>
        <w:t>Levy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77"/>
        <w:gridCol w:w="1870"/>
        <w:gridCol w:w="1870"/>
        <w:gridCol w:w="1870"/>
      </w:tblGrid>
      <w:tr w:rsidR="00851164" w:rsidRPr="00660138" w14:paraId="11FBE5AF" w14:textId="77777777" w:rsidTr="00D53734">
        <w:tc>
          <w:tcPr>
            <w:tcW w:w="2263" w:type="dxa"/>
          </w:tcPr>
          <w:p w14:paraId="56DDDB08" w14:textId="77777777" w:rsidR="00851164" w:rsidRPr="00660138" w:rsidRDefault="00851164" w:rsidP="000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6953098"/>
          </w:p>
        </w:tc>
        <w:tc>
          <w:tcPr>
            <w:tcW w:w="1477" w:type="dxa"/>
          </w:tcPr>
          <w:p w14:paraId="1828A929" w14:textId="493EA249" w:rsidR="00851164" w:rsidRPr="00660138" w:rsidRDefault="00101284" w:rsidP="00851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4F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6AEE48E8" w14:textId="3F2E13F3" w:rsidR="00851164" w:rsidRPr="00660138" w:rsidRDefault="00101284" w:rsidP="00D5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5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526FE344" w14:textId="67CDF20A" w:rsidR="00851164" w:rsidRPr="00660138" w:rsidRDefault="00D53734" w:rsidP="00D5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1870" w:type="dxa"/>
          </w:tcPr>
          <w:p w14:paraId="296E92A1" w14:textId="1F7D4DCD" w:rsidR="00851164" w:rsidRPr="00660138" w:rsidRDefault="00D53734" w:rsidP="00D53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138">
              <w:rPr>
                <w:rFonts w:ascii="Times New Roman" w:hAnsi="Times New Roman" w:cs="Times New Roman"/>
                <w:sz w:val="20"/>
                <w:szCs w:val="20"/>
              </w:rPr>
              <w:t>Percent</w:t>
            </w:r>
          </w:p>
        </w:tc>
      </w:tr>
      <w:tr w:rsidR="00D3345E" w:rsidRPr="00681DE4" w14:paraId="3C70B547" w14:textId="77777777" w:rsidTr="00176A43">
        <w:trPr>
          <w:trHeight w:val="414"/>
        </w:trPr>
        <w:tc>
          <w:tcPr>
            <w:tcW w:w="2263" w:type="dxa"/>
          </w:tcPr>
          <w:p w14:paraId="07A73116" w14:textId="26676307" w:rsidR="00D3345E" w:rsidRPr="00101284" w:rsidRDefault="00D3345E" w:rsidP="00D33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Levy, excluding school</w:t>
            </w:r>
          </w:p>
        </w:tc>
        <w:tc>
          <w:tcPr>
            <w:tcW w:w="1477" w:type="dxa"/>
          </w:tcPr>
          <w:p w14:paraId="3412C98C" w14:textId="3F9D5271" w:rsidR="00D3345E" w:rsidRPr="00681DE4" w:rsidRDefault="00D3345E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$4,</w:t>
            </w:r>
            <w:r w:rsidR="00D04F6A">
              <w:rPr>
                <w:rFonts w:ascii="Times New Roman" w:hAnsi="Times New Roman" w:cs="Times New Roman"/>
                <w:sz w:val="20"/>
                <w:szCs w:val="20"/>
              </w:rPr>
              <w:t>737,600</w:t>
            </w:r>
          </w:p>
        </w:tc>
        <w:tc>
          <w:tcPr>
            <w:tcW w:w="1870" w:type="dxa"/>
          </w:tcPr>
          <w:p w14:paraId="4FCACE4F" w14:textId="5FC952A7" w:rsidR="00D3345E" w:rsidRPr="00681DE4" w:rsidRDefault="00D3345E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$4,</w:t>
            </w:r>
            <w:r w:rsidR="00D04F6A">
              <w:rPr>
                <w:rFonts w:ascii="Times New Roman" w:hAnsi="Times New Roman" w:cs="Times New Roman"/>
                <w:sz w:val="20"/>
                <w:szCs w:val="20"/>
              </w:rPr>
              <w:t>535,844</w:t>
            </w:r>
          </w:p>
        </w:tc>
        <w:tc>
          <w:tcPr>
            <w:tcW w:w="1870" w:type="dxa"/>
          </w:tcPr>
          <w:p w14:paraId="32598D5C" w14:textId="6988E880" w:rsidR="00D3345E" w:rsidRPr="00681DE4" w:rsidRDefault="00D3345E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0541A0">
              <w:rPr>
                <w:rFonts w:ascii="Times New Roman" w:hAnsi="Times New Roman" w:cs="Times New Roman"/>
                <w:sz w:val="20"/>
                <w:szCs w:val="20"/>
              </w:rPr>
              <w:t>201,756</w:t>
            </w:r>
          </w:p>
        </w:tc>
        <w:tc>
          <w:tcPr>
            <w:tcW w:w="1870" w:type="dxa"/>
          </w:tcPr>
          <w:p w14:paraId="53513B28" w14:textId="4934B973" w:rsidR="00D3345E" w:rsidRPr="00101284" w:rsidRDefault="00532D57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0541A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14:paraId="3090C20A" w14:textId="674EC10F" w:rsidR="00D3345E" w:rsidRPr="00681DE4" w:rsidRDefault="00D3345E" w:rsidP="00D334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3345E" w:rsidRPr="00660138" w14:paraId="46DC80E4" w14:textId="77777777" w:rsidTr="00176A43">
        <w:trPr>
          <w:trHeight w:val="379"/>
        </w:trPr>
        <w:tc>
          <w:tcPr>
            <w:tcW w:w="2263" w:type="dxa"/>
          </w:tcPr>
          <w:p w14:paraId="4AE72EBF" w14:textId="321CE447" w:rsidR="00D3345E" w:rsidRPr="00681DE4" w:rsidRDefault="00D3345E" w:rsidP="00D334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Levy, including schools</w:t>
            </w:r>
          </w:p>
        </w:tc>
        <w:tc>
          <w:tcPr>
            <w:tcW w:w="1477" w:type="dxa"/>
          </w:tcPr>
          <w:p w14:paraId="21F939F1" w14:textId="68F75155" w:rsidR="00D3345E" w:rsidRPr="00681DE4" w:rsidRDefault="00D3345E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32D5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541A0">
              <w:rPr>
                <w:rFonts w:ascii="Times New Roman" w:hAnsi="Times New Roman" w:cs="Times New Roman"/>
                <w:sz w:val="20"/>
                <w:szCs w:val="20"/>
              </w:rPr>
              <w:t>348,202</w:t>
            </w:r>
          </w:p>
        </w:tc>
        <w:tc>
          <w:tcPr>
            <w:tcW w:w="1870" w:type="dxa"/>
          </w:tcPr>
          <w:p w14:paraId="7130A33F" w14:textId="30D1FEB6" w:rsidR="00D3345E" w:rsidRPr="00681DE4" w:rsidRDefault="00D3345E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04F6A">
              <w:rPr>
                <w:rFonts w:ascii="Times New Roman" w:hAnsi="Times New Roman" w:cs="Times New Roman"/>
                <w:sz w:val="20"/>
                <w:szCs w:val="20"/>
              </w:rPr>
              <w:t>5,139,348</w:t>
            </w:r>
          </w:p>
        </w:tc>
        <w:tc>
          <w:tcPr>
            <w:tcW w:w="1870" w:type="dxa"/>
          </w:tcPr>
          <w:p w14:paraId="71F399C6" w14:textId="3137F5C8" w:rsidR="00D3345E" w:rsidRPr="00681DE4" w:rsidRDefault="00D3345E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1284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32D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41A0">
              <w:rPr>
                <w:rFonts w:ascii="Times New Roman" w:hAnsi="Times New Roman" w:cs="Times New Roman"/>
                <w:sz w:val="20"/>
                <w:szCs w:val="20"/>
              </w:rPr>
              <w:t>8,854</w:t>
            </w:r>
          </w:p>
        </w:tc>
        <w:tc>
          <w:tcPr>
            <w:tcW w:w="1870" w:type="dxa"/>
          </w:tcPr>
          <w:p w14:paraId="295F44BB" w14:textId="16F9145D" w:rsidR="00D3345E" w:rsidRPr="00660138" w:rsidRDefault="00532D57" w:rsidP="00D3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541A0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bookmarkEnd w:id="1"/>
    </w:tbl>
    <w:p w14:paraId="5CA09654" w14:textId="6A6D8C52" w:rsidR="009E7591" w:rsidRDefault="009E7591" w:rsidP="000279E3">
      <w:pPr>
        <w:rPr>
          <w:rFonts w:ascii="Times New Roman" w:hAnsi="Times New Roman" w:cs="Times New Roman"/>
          <w:sz w:val="24"/>
          <w:szCs w:val="24"/>
        </w:rPr>
      </w:pPr>
    </w:p>
    <w:p w14:paraId="07AD0B9F" w14:textId="3AC4AE4B" w:rsidR="00E023CB" w:rsidRDefault="00E023CB" w:rsidP="000279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Capital Expenditures</w:t>
      </w:r>
    </w:p>
    <w:p w14:paraId="2ABA1E87" w14:textId="25D4778F" w:rsidR="000563C7" w:rsidRPr="00A02384" w:rsidRDefault="000563C7" w:rsidP="000279E3">
      <w:pPr>
        <w:rPr>
          <w:rFonts w:ascii="Times New Roman" w:hAnsi="Times New Roman" w:cs="Times New Roman"/>
          <w:sz w:val="24"/>
          <w:szCs w:val="24"/>
        </w:rPr>
      </w:pPr>
      <w:r w:rsidRPr="00A02384">
        <w:rPr>
          <w:rFonts w:ascii="Times New Roman" w:hAnsi="Times New Roman" w:cs="Times New Roman"/>
          <w:sz w:val="24"/>
          <w:szCs w:val="24"/>
        </w:rPr>
        <w:t>Included in the 20</w:t>
      </w:r>
      <w:r w:rsidR="00CF554F" w:rsidRPr="00A02384">
        <w:rPr>
          <w:rFonts w:ascii="Times New Roman" w:hAnsi="Times New Roman" w:cs="Times New Roman"/>
          <w:sz w:val="24"/>
          <w:szCs w:val="24"/>
        </w:rPr>
        <w:t>2</w:t>
      </w:r>
      <w:r w:rsidR="00D04F6A">
        <w:rPr>
          <w:rFonts w:ascii="Times New Roman" w:hAnsi="Times New Roman" w:cs="Times New Roman"/>
          <w:sz w:val="24"/>
          <w:szCs w:val="24"/>
        </w:rPr>
        <w:t>3</w:t>
      </w:r>
      <w:r w:rsidRPr="00A02384">
        <w:rPr>
          <w:rFonts w:ascii="Times New Roman" w:hAnsi="Times New Roman" w:cs="Times New Roman"/>
          <w:sz w:val="24"/>
          <w:szCs w:val="24"/>
        </w:rPr>
        <w:t xml:space="preserve"> Budget is $</w:t>
      </w:r>
      <w:r w:rsidR="00216A5C">
        <w:rPr>
          <w:rFonts w:ascii="Times New Roman" w:hAnsi="Times New Roman" w:cs="Times New Roman"/>
          <w:sz w:val="24"/>
          <w:szCs w:val="24"/>
        </w:rPr>
        <w:t>2,113,300</w:t>
      </w:r>
      <w:r w:rsidRPr="00A02384">
        <w:rPr>
          <w:rFonts w:ascii="Times New Roman" w:hAnsi="Times New Roman" w:cs="Times New Roman"/>
          <w:sz w:val="24"/>
          <w:szCs w:val="24"/>
        </w:rPr>
        <w:t xml:space="preserve"> for capital works.  </w:t>
      </w:r>
      <w:r w:rsidR="006C77F2">
        <w:rPr>
          <w:rFonts w:ascii="Times New Roman" w:hAnsi="Times New Roman" w:cs="Times New Roman"/>
          <w:sz w:val="24"/>
          <w:szCs w:val="24"/>
        </w:rPr>
        <w:t>T</w:t>
      </w:r>
      <w:r w:rsidRPr="00A02384">
        <w:rPr>
          <w:rFonts w:ascii="Times New Roman" w:hAnsi="Times New Roman" w:cs="Times New Roman"/>
          <w:sz w:val="24"/>
          <w:szCs w:val="24"/>
        </w:rPr>
        <w:t xml:space="preserve">his includes </w:t>
      </w:r>
      <w:r w:rsidR="00216A5C">
        <w:rPr>
          <w:rFonts w:ascii="Times New Roman" w:hAnsi="Times New Roman" w:cs="Times New Roman"/>
          <w:sz w:val="24"/>
          <w:szCs w:val="24"/>
        </w:rPr>
        <w:t xml:space="preserve">diesel exhaust units at the Fire Station in </w:t>
      </w:r>
      <w:proofErr w:type="spellStart"/>
      <w:r w:rsidR="00216A5C">
        <w:rPr>
          <w:rFonts w:ascii="Times New Roman" w:hAnsi="Times New Roman" w:cs="Times New Roman"/>
          <w:sz w:val="24"/>
          <w:szCs w:val="24"/>
        </w:rPr>
        <w:t>Webbwood</w:t>
      </w:r>
      <w:proofErr w:type="spellEnd"/>
      <w:r w:rsidR="00216A5C">
        <w:rPr>
          <w:rFonts w:ascii="Times New Roman" w:hAnsi="Times New Roman" w:cs="Times New Roman"/>
          <w:sz w:val="24"/>
          <w:szCs w:val="24"/>
        </w:rPr>
        <w:t xml:space="preserve">, fire water pumps, main door canopies for </w:t>
      </w:r>
      <w:proofErr w:type="spellStart"/>
      <w:r w:rsidR="00216A5C">
        <w:rPr>
          <w:rFonts w:ascii="Times New Roman" w:hAnsi="Times New Roman" w:cs="Times New Roman"/>
          <w:sz w:val="24"/>
          <w:szCs w:val="24"/>
        </w:rPr>
        <w:t>Webbwood</w:t>
      </w:r>
      <w:proofErr w:type="spellEnd"/>
      <w:r w:rsidR="00216A5C">
        <w:rPr>
          <w:rFonts w:ascii="Times New Roman" w:hAnsi="Times New Roman" w:cs="Times New Roman"/>
          <w:sz w:val="24"/>
          <w:szCs w:val="24"/>
        </w:rPr>
        <w:t xml:space="preserve"> and Shakespeare Fire Stations, valve and nozzle replacements for fire equipment</w:t>
      </w:r>
      <w:r w:rsidR="00637068">
        <w:rPr>
          <w:rFonts w:ascii="Times New Roman" w:hAnsi="Times New Roman" w:cs="Times New Roman"/>
          <w:sz w:val="24"/>
          <w:szCs w:val="24"/>
        </w:rPr>
        <w:t xml:space="preserve">, </w:t>
      </w:r>
      <w:r w:rsidR="00216A5C">
        <w:rPr>
          <w:rFonts w:ascii="Times New Roman" w:hAnsi="Times New Roman" w:cs="Times New Roman"/>
          <w:sz w:val="24"/>
          <w:szCs w:val="24"/>
        </w:rPr>
        <w:t>25 sets of wildland firefighting gear</w:t>
      </w:r>
      <w:r w:rsidR="006C77F2">
        <w:rPr>
          <w:rFonts w:ascii="Times New Roman" w:hAnsi="Times New Roman" w:cs="Times New Roman"/>
          <w:sz w:val="24"/>
          <w:szCs w:val="24"/>
        </w:rPr>
        <w:t xml:space="preserve">, </w:t>
      </w:r>
      <w:r w:rsidR="00637068">
        <w:rPr>
          <w:rFonts w:ascii="Times New Roman" w:hAnsi="Times New Roman" w:cs="Times New Roman"/>
          <w:sz w:val="24"/>
          <w:szCs w:val="24"/>
        </w:rPr>
        <w:t>b</w:t>
      </w:r>
      <w:r w:rsidR="006C77F2">
        <w:rPr>
          <w:rFonts w:ascii="Times New Roman" w:hAnsi="Times New Roman" w:cs="Times New Roman"/>
          <w:sz w:val="24"/>
          <w:szCs w:val="24"/>
        </w:rPr>
        <w:t xml:space="preserve">uilding </w:t>
      </w:r>
      <w:r w:rsidR="00637068">
        <w:rPr>
          <w:rFonts w:ascii="Times New Roman" w:hAnsi="Times New Roman" w:cs="Times New Roman"/>
          <w:sz w:val="24"/>
          <w:szCs w:val="24"/>
        </w:rPr>
        <w:t>s</w:t>
      </w:r>
      <w:r w:rsidR="006C77F2">
        <w:rPr>
          <w:rFonts w:ascii="Times New Roman" w:hAnsi="Times New Roman" w:cs="Times New Roman"/>
          <w:sz w:val="24"/>
          <w:szCs w:val="24"/>
        </w:rPr>
        <w:t>ervices pick-up truck</w:t>
      </w:r>
      <w:r w:rsidR="00BD2ED5">
        <w:rPr>
          <w:rFonts w:ascii="Times New Roman" w:hAnsi="Times New Roman" w:cs="Times New Roman"/>
          <w:sz w:val="24"/>
          <w:szCs w:val="24"/>
        </w:rPr>
        <w:t xml:space="preserve">, </w:t>
      </w:r>
      <w:r w:rsidR="00637068">
        <w:rPr>
          <w:rFonts w:ascii="Times New Roman" w:hAnsi="Times New Roman" w:cs="Times New Roman"/>
          <w:sz w:val="24"/>
          <w:szCs w:val="24"/>
        </w:rPr>
        <w:t>e</w:t>
      </w:r>
      <w:r w:rsidR="00BD2ED5">
        <w:rPr>
          <w:rFonts w:ascii="Times New Roman" w:hAnsi="Times New Roman" w:cs="Times New Roman"/>
          <w:sz w:val="24"/>
          <w:szCs w:val="24"/>
        </w:rPr>
        <w:t xml:space="preserve">ngineering </w:t>
      </w:r>
      <w:r w:rsidR="00637068">
        <w:rPr>
          <w:rFonts w:ascii="Times New Roman" w:hAnsi="Times New Roman" w:cs="Times New Roman"/>
          <w:sz w:val="24"/>
          <w:szCs w:val="24"/>
        </w:rPr>
        <w:t>s</w:t>
      </w:r>
      <w:r w:rsidR="00BD2ED5">
        <w:rPr>
          <w:rFonts w:ascii="Times New Roman" w:hAnsi="Times New Roman" w:cs="Times New Roman"/>
          <w:sz w:val="24"/>
          <w:szCs w:val="24"/>
        </w:rPr>
        <w:t>ervices for bridge and culvert replacement projects</w:t>
      </w:r>
      <w:r w:rsidR="0004275A">
        <w:rPr>
          <w:rFonts w:ascii="Times New Roman" w:hAnsi="Times New Roman" w:cs="Times New Roman"/>
          <w:sz w:val="24"/>
          <w:szCs w:val="24"/>
        </w:rPr>
        <w:t>,</w:t>
      </w:r>
      <w:r w:rsidR="007F13D4">
        <w:rPr>
          <w:rFonts w:ascii="Times New Roman" w:hAnsi="Times New Roman" w:cs="Times New Roman"/>
          <w:sz w:val="24"/>
          <w:szCs w:val="24"/>
        </w:rPr>
        <w:t xml:space="preserve"> </w:t>
      </w:r>
      <w:r w:rsidR="00CF554F" w:rsidRPr="00A02384">
        <w:rPr>
          <w:rFonts w:ascii="Times New Roman" w:hAnsi="Times New Roman" w:cs="Times New Roman"/>
          <w:sz w:val="24"/>
          <w:szCs w:val="24"/>
        </w:rPr>
        <w:t>road improvements</w:t>
      </w:r>
      <w:r w:rsidR="00A02384" w:rsidRPr="00A02384">
        <w:rPr>
          <w:rFonts w:ascii="Times New Roman" w:hAnsi="Times New Roman" w:cs="Times New Roman"/>
          <w:sz w:val="24"/>
          <w:szCs w:val="24"/>
        </w:rPr>
        <w:t xml:space="preserve">, </w:t>
      </w:r>
      <w:r w:rsidR="00BD2ED5">
        <w:rPr>
          <w:rFonts w:ascii="Times New Roman" w:hAnsi="Times New Roman" w:cs="Times New Roman"/>
          <w:sz w:val="24"/>
          <w:szCs w:val="24"/>
        </w:rPr>
        <w:t>truck mount sander/spreader, cut-off saw</w:t>
      </w:r>
      <w:r w:rsidR="004C333D">
        <w:rPr>
          <w:rFonts w:ascii="Times New Roman" w:hAnsi="Times New Roman" w:cs="Times New Roman"/>
          <w:sz w:val="24"/>
          <w:szCs w:val="24"/>
        </w:rPr>
        <w:t xml:space="preserve">, </w:t>
      </w:r>
      <w:r w:rsidR="00BD2ED5">
        <w:rPr>
          <w:rFonts w:ascii="Times New Roman" w:hAnsi="Times New Roman" w:cs="Times New Roman"/>
          <w:sz w:val="24"/>
          <w:szCs w:val="24"/>
        </w:rPr>
        <w:t>Massey Clinic parking lot paving and ramp</w:t>
      </w:r>
      <w:r w:rsidR="004C333D">
        <w:rPr>
          <w:rFonts w:ascii="Times New Roman" w:hAnsi="Times New Roman" w:cs="Times New Roman"/>
          <w:sz w:val="24"/>
          <w:szCs w:val="24"/>
        </w:rPr>
        <w:t xml:space="preserve">, Massey Arena roof repair, </w:t>
      </w:r>
      <w:r w:rsidR="00BD2ED5">
        <w:rPr>
          <w:rFonts w:ascii="Times New Roman" w:hAnsi="Times New Roman" w:cs="Times New Roman"/>
          <w:sz w:val="24"/>
          <w:szCs w:val="24"/>
        </w:rPr>
        <w:t>oil tank removal, zero turn mower with bagger, soccer nets</w:t>
      </w:r>
      <w:r w:rsidR="004C333D">
        <w:rPr>
          <w:rFonts w:ascii="Times New Roman" w:hAnsi="Times New Roman" w:cs="Times New Roman"/>
          <w:sz w:val="24"/>
          <w:szCs w:val="24"/>
        </w:rPr>
        <w:t>,</w:t>
      </w:r>
      <w:r w:rsidR="00BD2ED5">
        <w:rPr>
          <w:rFonts w:ascii="Times New Roman" w:hAnsi="Times New Roman" w:cs="Times New Roman"/>
          <w:sz w:val="24"/>
          <w:szCs w:val="24"/>
        </w:rPr>
        <w:t xml:space="preserve"> ballfield player’s benches, Arena office electrical panel replacement, Christmas lights for hydro poles, historical markers and posts</w:t>
      </w:r>
      <w:r w:rsidRPr="00A02384">
        <w:rPr>
          <w:rFonts w:ascii="Times New Roman" w:hAnsi="Times New Roman" w:cs="Times New Roman"/>
          <w:sz w:val="24"/>
          <w:szCs w:val="24"/>
        </w:rPr>
        <w:t>.  This does not include any capital works for the Water and Wastewater departments as these expenditures are funded through</w:t>
      </w:r>
      <w:r w:rsidR="00FB1E64">
        <w:rPr>
          <w:rFonts w:ascii="Times New Roman" w:hAnsi="Times New Roman" w:cs="Times New Roman"/>
          <w:sz w:val="24"/>
          <w:szCs w:val="24"/>
        </w:rPr>
        <w:t xml:space="preserve"> each department’s </w:t>
      </w:r>
      <w:r w:rsidRPr="00A02384">
        <w:rPr>
          <w:rFonts w:ascii="Times New Roman" w:hAnsi="Times New Roman" w:cs="Times New Roman"/>
          <w:sz w:val="24"/>
          <w:szCs w:val="24"/>
        </w:rPr>
        <w:t xml:space="preserve">user fees and reserves transfers.  </w:t>
      </w:r>
    </w:p>
    <w:p w14:paraId="265F484B" w14:textId="5F474426" w:rsidR="00E023CB" w:rsidRDefault="000563C7" w:rsidP="000279E3">
      <w:pPr>
        <w:rPr>
          <w:rFonts w:ascii="Times New Roman" w:hAnsi="Times New Roman" w:cs="Times New Roman"/>
          <w:sz w:val="24"/>
          <w:szCs w:val="24"/>
        </w:rPr>
      </w:pPr>
      <w:r w:rsidRPr="002108C8">
        <w:rPr>
          <w:rFonts w:ascii="Times New Roman" w:hAnsi="Times New Roman" w:cs="Times New Roman"/>
          <w:sz w:val="24"/>
          <w:szCs w:val="24"/>
        </w:rPr>
        <w:t>The total cost fo</w:t>
      </w:r>
      <w:r w:rsidR="00703A71" w:rsidRPr="002108C8">
        <w:rPr>
          <w:rFonts w:ascii="Times New Roman" w:hAnsi="Times New Roman" w:cs="Times New Roman"/>
          <w:sz w:val="24"/>
          <w:szCs w:val="24"/>
        </w:rPr>
        <w:t>r capital to be raised through taxation is $</w:t>
      </w:r>
      <w:r w:rsidR="0004275A">
        <w:rPr>
          <w:rFonts w:ascii="Times New Roman" w:hAnsi="Times New Roman" w:cs="Times New Roman"/>
          <w:sz w:val="24"/>
          <w:szCs w:val="24"/>
        </w:rPr>
        <w:t>1,</w:t>
      </w:r>
      <w:r w:rsidR="00BD2ED5">
        <w:rPr>
          <w:rFonts w:ascii="Times New Roman" w:hAnsi="Times New Roman" w:cs="Times New Roman"/>
          <w:sz w:val="24"/>
          <w:szCs w:val="24"/>
        </w:rPr>
        <w:t>075,366</w:t>
      </w:r>
      <w:r w:rsidR="00703A71" w:rsidRPr="002108C8">
        <w:rPr>
          <w:rFonts w:ascii="Times New Roman" w:hAnsi="Times New Roman" w:cs="Times New Roman"/>
          <w:sz w:val="24"/>
          <w:szCs w:val="24"/>
        </w:rPr>
        <w:t>.  Transfers from reserves total $</w:t>
      </w:r>
      <w:r w:rsidR="00637068">
        <w:rPr>
          <w:rFonts w:ascii="Times New Roman" w:hAnsi="Times New Roman" w:cs="Times New Roman"/>
          <w:sz w:val="24"/>
          <w:szCs w:val="24"/>
        </w:rPr>
        <w:t>55</w:t>
      </w:r>
      <w:r w:rsidR="00AF2B5C">
        <w:rPr>
          <w:rFonts w:ascii="Times New Roman" w:hAnsi="Times New Roman" w:cs="Times New Roman"/>
          <w:sz w:val="24"/>
          <w:szCs w:val="24"/>
        </w:rPr>
        <w:t>,000</w:t>
      </w:r>
      <w:r w:rsidR="00703A71" w:rsidRPr="002108C8">
        <w:rPr>
          <w:rFonts w:ascii="Times New Roman" w:hAnsi="Times New Roman" w:cs="Times New Roman"/>
          <w:sz w:val="24"/>
          <w:szCs w:val="24"/>
        </w:rPr>
        <w:t xml:space="preserve"> for </w:t>
      </w:r>
      <w:r w:rsidR="002108C8" w:rsidRPr="002108C8">
        <w:rPr>
          <w:rFonts w:ascii="Times New Roman" w:hAnsi="Times New Roman" w:cs="Times New Roman"/>
          <w:sz w:val="24"/>
          <w:szCs w:val="24"/>
        </w:rPr>
        <w:t>the</w:t>
      </w:r>
      <w:r w:rsidR="00AF2B5C">
        <w:rPr>
          <w:rFonts w:ascii="Times New Roman" w:hAnsi="Times New Roman" w:cs="Times New Roman"/>
          <w:sz w:val="24"/>
          <w:szCs w:val="24"/>
        </w:rPr>
        <w:t xml:space="preserve"> </w:t>
      </w:r>
      <w:r w:rsidR="00637068">
        <w:rPr>
          <w:rFonts w:ascii="Times New Roman" w:hAnsi="Times New Roman" w:cs="Times New Roman"/>
          <w:sz w:val="24"/>
          <w:szCs w:val="24"/>
        </w:rPr>
        <w:t>building services pick-up</w:t>
      </w:r>
      <w:r w:rsidR="00AF2B5C">
        <w:rPr>
          <w:rFonts w:ascii="Times New Roman" w:hAnsi="Times New Roman" w:cs="Times New Roman"/>
          <w:sz w:val="24"/>
          <w:szCs w:val="24"/>
        </w:rPr>
        <w:t xml:space="preserve"> truck.</w:t>
      </w:r>
      <w:r w:rsidR="00703A71" w:rsidRPr="002108C8">
        <w:rPr>
          <w:rFonts w:ascii="Times New Roman" w:hAnsi="Times New Roman" w:cs="Times New Roman"/>
          <w:sz w:val="24"/>
          <w:szCs w:val="24"/>
        </w:rPr>
        <w:t xml:space="preserve">  Federal Gas Tax funds totalling $</w:t>
      </w:r>
      <w:r w:rsidR="00AA7DAA">
        <w:rPr>
          <w:rFonts w:ascii="Times New Roman" w:hAnsi="Times New Roman" w:cs="Times New Roman"/>
          <w:sz w:val="24"/>
          <w:szCs w:val="24"/>
        </w:rPr>
        <w:t>3</w:t>
      </w:r>
      <w:r w:rsidR="00186E42">
        <w:rPr>
          <w:rFonts w:ascii="Times New Roman" w:hAnsi="Times New Roman" w:cs="Times New Roman"/>
          <w:sz w:val="24"/>
          <w:szCs w:val="24"/>
        </w:rPr>
        <w:t>5</w:t>
      </w:r>
      <w:r w:rsidR="00AA7DAA">
        <w:rPr>
          <w:rFonts w:ascii="Times New Roman" w:hAnsi="Times New Roman" w:cs="Times New Roman"/>
          <w:sz w:val="24"/>
          <w:szCs w:val="24"/>
        </w:rPr>
        <w:t>0,000</w:t>
      </w:r>
      <w:r w:rsidR="00703A71" w:rsidRPr="002108C8">
        <w:rPr>
          <w:rFonts w:ascii="Times New Roman" w:hAnsi="Times New Roman" w:cs="Times New Roman"/>
          <w:sz w:val="24"/>
          <w:szCs w:val="24"/>
        </w:rPr>
        <w:t xml:space="preserve"> will be used on</w:t>
      </w:r>
      <w:r w:rsidR="00186E42">
        <w:rPr>
          <w:rFonts w:ascii="Times New Roman" w:hAnsi="Times New Roman" w:cs="Times New Roman"/>
          <w:sz w:val="24"/>
          <w:szCs w:val="24"/>
        </w:rPr>
        <w:t xml:space="preserve"> </w:t>
      </w:r>
      <w:r w:rsidR="00BD2ED5">
        <w:rPr>
          <w:rFonts w:ascii="Times New Roman" w:hAnsi="Times New Roman" w:cs="Times New Roman"/>
          <w:sz w:val="24"/>
          <w:szCs w:val="24"/>
        </w:rPr>
        <w:t>road improvements</w:t>
      </w:r>
      <w:r w:rsidR="00703A71" w:rsidRPr="002108C8">
        <w:rPr>
          <w:rFonts w:ascii="Times New Roman" w:hAnsi="Times New Roman" w:cs="Times New Roman"/>
          <w:sz w:val="24"/>
          <w:szCs w:val="24"/>
        </w:rPr>
        <w:t xml:space="preserve">.  </w:t>
      </w:r>
      <w:r w:rsidR="002108C8" w:rsidRPr="002108C8">
        <w:rPr>
          <w:rFonts w:ascii="Times New Roman" w:hAnsi="Times New Roman" w:cs="Times New Roman"/>
          <w:sz w:val="24"/>
          <w:szCs w:val="24"/>
        </w:rPr>
        <w:t>Provincial</w:t>
      </w:r>
      <w:r w:rsidR="00703A71" w:rsidRPr="002108C8">
        <w:rPr>
          <w:rFonts w:ascii="Times New Roman" w:hAnsi="Times New Roman" w:cs="Times New Roman"/>
          <w:sz w:val="24"/>
          <w:szCs w:val="24"/>
        </w:rPr>
        <w:t xml:space="preserve"> grants totalling $</w:t>
      </w:r>
      <w:r w:rsidR="00AC71F2">
        <w:rPr>
          <w:rFonts w:ascii="Times New Roman" w:hAnsi="Times New Roman" w:cs="Times New Roman"/>
          <w:sz w:val="24"/>
          <w:szCs w:val="24"/>
        </w:rPr>
        <w:t>3</w:t>
      </w:r>
      <w:r w:rsidR="00637068">
        <w:rPr>
          <w:rFonts w:ascii="Times New Roman" w:hAnsi="Times New Roman" w:cs="Times New Roman"/>
          <w:sz w:val="24"/>
          <w:szCs w:val="24"/>
        </w:rPr>
        <w:t>71,235</w:t>
      </w:r>
      <w:r w:rsidR="00703A71" w:rsidRPr="002108C8">
        <w:rPr>
          <w:rFonts w:ascii="Times New Roman" w:hAnsi="Times New Roman" w:cs="Times New Roman"/>
          <w:sz w:val="24"/>
          <w:szCs w:val="24"/>
        </w:rPr>
        <w:t xml:space="preserve"> will be used for eligible road </w:t>
      </w:r>
      <w:r w:rsidR="00AC71F2">
        <w:rPr>
          <w:rFonts w:ascii="Times New Roman" w:hAnsi="Times New Roman" w:cs="Times New Roman"/>
          <w:sz w:val="24"/>
          <w:szCs w:val="24"/>
        </w:rPr>
        <w:t xml:space="preserve">and bridge </w:t>
      </w:r>
      <w:r w:rsidR="00703A71" w:rsidRPr="002108C8">
        <w:rPr>
          <w:rFonts w:ascii="Times New Roman" w:hAnsi="Times New Roman" w:cs="Times New Roman"/>
          <w:sz w:val="24"/>
          <w:szCs w:val="24"/>
        </w:rPr>
        <w:t>projects</w:t>
      </w:r>
      <w:r w:rsidR="009B7DF2">
        <w:rPr>
          <w:rFonts w:ascii="Times New Roman" w:hAnsi="Times New Roman" w:cs="Times New Roman"/>
          <w:sz w:val="24"/>
          <w:szCs w:val="24"/>
        </w:rPr>
        <w:t>.</w:t>
      </w:r>
      <w:r w:rsidR="00AC71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6AF6FE" w14:textId="15A0BAEA" w:rsidR="00FD6B9C" w:rsidRDefault="00FD6B9C" w:rsidP="000279E3">
      <w:pPr>
        <w:rPr>
          <w:rFonts w:ascii="Times New Roman" w:hAnsi="Times New Roman" w:cs="Times New Roman"/>
          <w:sz w:val="24"/>
          <w:szCs w:val="24"/>
        </w:rPr>
      </w:pPr>
    </w:p>
    <w:p w14:paraId="5354B688" w14:textId="3609F1FA" w:rsidR="001956D9" w:rsidRPr="001956D9" w:rsidRDefault="001956D9" w:rsidP="00A079F1">
      <w:pPr>
        <w:rPr>
          <w:rFonts w:ascii="Times New Roman" w:hAnsi="Times New Roman" w:cs="Times New Roman"/>
          <w:sz w:val="24"/>
          <w:szCs w:val="24"/>
        </w:rPr>
      </w:pPr>
    </w:p>
    <w:sectPr w:rsidR="001956D9" w:rsidRPr="001956D9" w:rsidSect="00736EC5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5CE6" w14:textId="77777777" w:rsidR="00FD6B9C" w:rsidRDefault="00FD6B9C" w:rsidP="00FD6B9C">
      <w:pPr>
        <w:spacing w:after="0" w:line="240" w:lineRule="auto"/>
      </w:pPr>
      <w:r>
        <w:separator/>
      </w:r>
    </w:p>
  </w:endnote>
  <w:endnote w:type="continuationSeparator" w:id="0">
    <w:p w14:paraId="7BC2322A" w14:textId="77777777" w:rsidR="00FD6B9C" w:rsidRDefault="00FD6B9C" w:rsidP="00FD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E34C" w14:textId="77777777" w:rsidR="00FD6B9C" w:rsidRDefault="00FD6B9C" w:rsidP="00FD6B9C">
      <w:pPr>
        <w:spacing w:after="0" w:line="240" w:lineRule="auto"/>
      </w:pPr>
      <w:r>
        <w:separator/>
      </w:r>
    </w:p>
  </w:footnote>
  <w:footnote w:type="continuationSeparator" w:id="0">
    <w:p w14:paraId="3CBC7231" w14:textId="77777777" w:rsidR="00FD6B9C" w:rsidRDefault="00FD6B9C" w:rsidP="00FD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E3"/>
    <w:rsid w:val="000279E3"/>
    <w:rsid w:val="0003162F"/>
    <w:rsid w:val="0004275A"/>
    <w:rsid w:val="000541A0"/>
    <w:rsid w:val="000563C7"/>
    <w:rsid w:val="00101284"/>
    <w:rsid w:val="00111DE1"/>
    <w:rsid w:val="00176A43"/>
    <w:rsid w:val="00186E42"/>
    <w:rsid w:val="001956D9"/>
    <w:rsid w:val="002059A1"/>
    <w:rsid w:val="002108C8"/>
    <w:rsid w:val="00216A5C"/>
    <w:rsid w:val="003E35BD"/>
    <w:rsid w:val="0043059F"/>
    <w:rsid w:val="00441F0F"/>
    <w:rsid w:val="0049072A"/>
    <w:rsid w:val="004B068F"/>
    <w:rsid w:val="004C333D"/>
    <w:rsid w:val="004F6A36"/>
    <w:rsid w:val="00532D57"/>
    <w:rsid w:val="005940B5"/>
    <w:rsid w:val="005E5BAF"/>
    <w:rsid w:val="00632190"/>
    <w:rsid w:val="00637068"/>
    <w:rsid w:val="00660138"/>
    <w:rsid w:val="006734F1"/>
    <w:rsid w:val="00681DE4"/>
    <w:rsid w:val="00694DF8"/>
    <w:rsid w:val="006A4F23"/>
    <w:rsid w:val="006C77F2"/>
    <w:rsid w:val="00703A71"/>
    <w:rsid w:val="007134D5"/>
    <w:rsid w:val="00720819"/>
    <w:rsid w:val="00736EC5"/>
    <w:rsid w:val="007453BD"/>
    <w:rsid w:val="00756992"/>
    <w:rsid w:val="007927A1"/>
    <w:rsid w:val="007A7694"/>
    <w:rsid w:val="007D33F8"/>
    <w:rsid w:val="007F13D4"/>
    <w:rsid w:val="007F6BBF"/>
    <w:rsid w:val="00851164"/>
    <w:rsid w:val="009B7DF2"/>
    <w:rsid w:val="009C422D"/>
    <w:rsid w:val="009E7591"/>
    <w:rsid w:val="00A02384"/>
    <w:rsid w:val="00A079F1"/>
    <w:rsid w:val="00A57187"/>
    <w:rsid w:val="00A87CA4"/>
    <w:rsid w:val="00AA7DAA"/>
    <w:rsid w:val="00AB0A46"/>
    <w:rsid w:val="00AC71F2"/>
    <w:rsid w:val="00AF0663"/>
    <w:rsid w:val="00AF2B5C"/>
    <w:rsid w:val="00B02E74"/>
    <w:rsid w:val="00B4223A"/>
    <w:rsid w:val="00BD2482"/>
    <w:rsid w:val="00BD2ED5"/>
    <w:rsid w:val="00C112F5"/>
    <w:rsid w:val="00C9530B"/>
    <w:rsid w:val="00CF554F"/>
    <w:rsid w:val="00D04F6A"/>
    <w:rsid w:val="00D3345E"/>
    <w:rsid w:val="00D53734"/>
    <w:rsid w:val="00D57F4A"/>
    <w:rsid w:val="00D75023"/>
    <w:rsid w:val="00D77BE9"/>
    <w:rsid w:val="00DC53F7"/>
    <w:rsid w:val="00DF2040"/>
    <w:rsid w:val="00DF31B2"/>
    <w:rsid w:val="00E023CB"/>
    <w:rsid w:val="00E11E56"/>
    <w:rsid w:val="00E558BC"/>
    <w:rsid w:val="00F02BAF"/>
    <w:rsid w:val="00FB1E64"/>
    <w:rsid w:val="00FD6B9C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6525"/>
  <w15:chartTrackingRefBased/>
  <w15:docId w15:val="{F0D006B5-D9F2-4A99-9A49-9589E3D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9C"/>
  </w:style>
  <w:style w:type="paragraph" w:styleId="Footer">
    <w:name w:val="footer"/>
    <w:basedOn w:val="Normal"/>
    <w:link w:val="FooterChar"/>
    <w:uiPriority w:val="99"/>
    <w:unhideWhenUsed/>
    <w:rsid w:val="00FD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Patrica Deline</dc:creator>
  <cp:keywords/>
  <dc:description/>
  <cp:lastModifiedBy>Ruth Clare</cp:lastModifiedBy>
  <cp:revision>9</cp:revision>
  <cp:lastPrinted>2019-09-03T14:09:00Z</cp:lastPrinted>
  <dcterms:created xsi:type="dcterms:W3CDTF">2022-07-12T13:14:00Z</dcterms:created>
  <dcterms:modified xsi:type="dcterms:W3CDTF">2023-06-06T18:48:00Z</dcterms:modified>
</cp:coreProperties>
</file>